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9" w:rsidRPr="00D23F59" w:rsidRDefault="00D23F59" w:rsidP="00D23F59">
      <w:pPr>
        <w:autoSpaceDE w:val="0"/>
        <w:autoSpaceDN w:val="0"/>
        <w:adjustRightInd w:val="0"/>
        <w:jc w:val="center"/>
        <w:rPr>
          <w:rFonts w:ascii="ComicSansMS-Bold" w:eastAsiaTheme="minorEastAsia" w:hAnsi="ComicSansMS-Bold" w:cs="ComicSansMS-Bold"/>
          <w:b/>
          <w:bCs/>
          <w:sz w:val="42"/>
          <w:szCs w:val="42"/>
          <w:lang w:eastAsia="ja-JP"/>
        </w:rPr>
      </w:pPr>
      <w:r w:rsidRPr="00D23F59">
        <w:rPr>
          <w:rFonts w:ascii="ComicSansMS-Bold" w:eastAsiaTheme="minorEastAsia" w:hAnsi="ComicSansMS-Bold" w:cs="ComicSansMS-Bold"/>
          <w:b/>
          <w:bCs/>
          <w:sz w:val="42"/>
          <w:szCs w:val="42"/>
          <w:lang w:eastAsia="ja-JP"/>
        </w:rPr>
        <w:t>CHM 115: Exam 1 Review Sheet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ascii="ComicSansMS-Bold" w:eastAsiaTheme="minorEastAsia" w:hAnsi="ComicSansMS-Bold" w:cs="ComicSansMS-Bold"/>
          <w:b/>
          <w:bCs/>
          <w:sz w:val="42"/>
          <w:szCs w:val="42"/>
          <w:lang w:eastAsia="ja-JP"/>
        </w:rPr>
      </w:pP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b/>
          <w:bCs/>
          <w:sz w:val="32"/>
          <w:szCs w:val="32"/>
          <w:lang w:eastAsia="ja-JP"/>
        </w:rPr>
        <w:sectPr w:rsidR="00D23F59" w:rsidRPr="00D23F59" w:rsidSect="00D23F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b/>
          <w:bCs/>
          <w:sz w:val="32"/>
          <w:szCs w:val="32"/>
          <w:lang w:eastAsia="ja-JP"/>
        </w:rPr>
      </w:pPr>
      <w:r w:rsidRPr="00D23F59">
        <w:rPr>
          <w:rFonts w:eastAsiaTheme="minorEastAsia" w:cs="Times New Roman"/>
          <w:b/>
          <w:bCs/>
          <w:sz w:val="32"/>
          <w:szCs w:val="32"/>
          <w:lang w:eastAsia="ja-JP"/>
        </w:rPr>
        <w:lastRenderedPageBreak/>
        <w:t>Chapter 1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Scientific method</w:t>
      </w:r>
    </w:p>
    <w:p w:rsidR="00D23F59" w:rsidRPr="00D23F59" w:rsidRDefault="00D23F59" w:rsidP="00D23F5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8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Physical states of matter</w:t>
      </w:r>
    </w:p>
    <w:p w:rsidR="00D23F59" w:rsidRPr="00D23F59" w:rsidRDefault="00D23F59" w:rsidP="00D23F59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576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Determine physical state of substances</w:t>
      </w:r>
    </w:p>
    <w:p w:rsidR="00D23F59" w:rsidRPr="00D23F59" w:rsidRDefault="00D23F59" w:rsidP="00D23F59">
      <w:pPr>
        <w:autoSpaceDE w:val="0"/>
        <w:autoSpaceDN w:val="0"/>
        <w:adjustRightInd w:val="0"/>
        <w:ind w:left="576" w:firstLine="72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 xml:space="preserve">(Solids, liquids, gases) </w:t>
      </w:r>
    </w:p>
    <w:p w:rsidR="00D23F59" w:rsidRPr="00D23F59" w:rsidRDefault="00D23F59" w:rsidP="00D23F59">
      <w:pPr>
        <w:autoSpaceDE w:val="0"/>
        <w:autoSpaceDN w:val="0"/>
        <w:adjustRightInd w:val="0"/>
        <w:ind w:left="576" w:firstLine="720"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numPr>
          <w:ilvl w:val="1"/>
          <w:numId w:val="10"/>
        </w:numPr>
        <w:autoSpaceDE w:val="0"/>
        <w:autoSpaceDN w:val="0"/>
        <w:adjustRightInd w:val="0"/>
        <w:spacing w:after="200" w:line="276" w:lineRule="auto"/>
        <w:ind w:left="576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Know terms for changes of state</w:t>
      </w:r>
    </w:p>
    <w:p w:rsidR="00D23F59" w:rsidRPr="00D23F59" w:rsidRDefault="00D23F59" w:rsidP="00D23F59">
      <w:pPr>
        <w:numPr>
          <w:ilvl w:val="1"/>
          <w:numId w:val="10"/>
        </w:numPr>
        <w:autoSpaceDE w:val="0"/>
        <w:autoSpaceDN w:val="0"/>
        <w:adjustRightInd w:val="0"/>
        <w:spacing w:after="200" w:line="276" w:lineRule="auto"/>
        <w:ind w:left="576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Melting, freezing, evaporation, condensation, sublimation, deposition</w:t>
      </w:r>
    </w:p>
    <w:p w:rsidR="00D23F59" w:rsidRPr="00D23F59" w:rsidRDefault="00D23F59" w:rsidP="00D23F59">
      <w:pPr>
        <w:numPr>
          <w:ilvl w:val="1"/>
          <w:numId w:val="10"/>
        </w:numPr>
        <w:autoSpaceDE w:val="0"/>
        <w:autoSpaceDN w:val="0"/>
        <w:adjustRightInd w:val="0"/>
        <w:spacing w:after="200" w:line="276" w:lineRule="auto"/>
        <w:ind w:left="576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Know trend for increasing temperature</w:t>
      </w:r>
    </w:p>
    <w:p w:rsidR="00D23F59" w:rsidRPr="00D23F59" w:rsidRDefault="00D23F59" w:rsidP="00D23F59">
      <w:pPr>
        <w:numPr>
          <w:ilvl w:val="1"/>
          <w:numId w:val="10"/>
        </w:numPr>
        <w:autoSpaceDE w:val="0"/>
        <w:autoSpaceDN w:val="0"/>
        <w:adjustRightInd w:val="0"/>
        <w:spacing w:after="200" w:line="276" w:lineRule="auto"/>
        <w:ind w:left="576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Know the physical state of all elements at room temperature (25°C)</w:t>
      </w:r>
    </w:p>
    <w:p w:rsidR="00D23F59" w:rsidRPr="00D23F59" w:rsidRDefault="00D23F59" w:rsidP="00D23F59">
      <w:pPr>
        <w:autoSpaceDE w:val="0"/>
        <w:autoSpaceDN w:val="0"/>
        <w:adjustRightInd w:val="0"/>
        <w:ind w:left="288"/>
        <w:contextualSpacing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8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Names and symbols of the elements</w:t>
      </w:r>
    </w:p>
    <w:p w:rsidR="00D23F59" w:rsidRPr="00D23F59" w:rsidRDefault="00D23F59" w:rsidP="00D23F59">
      <w:pPr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648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Correct spelling of element names counts!</w:t>
      </w:r>
    </w:p>
    <w:p w:rsidR="00D23F59" w:rsidRPr="00D23F59" w:rsidRDefault="00D23F59" w:rsidP="00D23F59">
      <w:pPr>
        <w:autoSpaceDE w:val="0"/>
        <w:autoSpaceDN w:val="0"/>
        <w:adjustRightInd w:val="0"/>
        <w:ind w:left="288"/>
        <w:contextualSpacing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ind w:left="288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Classification of matter</w:t>
      </w:r>
    </w:p>
    <w:p w:rsidR="00D23F59" w:rsidRPr="00D23F59" w:rsidRDefault="00D23F59" w:rsidP="00D23F59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648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Given examples, determine which are elements, compounds, or mixtures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b/>
          <w:bCs/>
          <w:sz w:val="32"/>
          <w:szCs w:val="32"/>
          <w:lang w:eastAsia="ja-JP"/>
        </w:rPr>
      </w:pPr>
      <w:r w:rsidRPr="00D23F59">
        <w:rPr>
          <w:rFonts w:eastAsiaTheme="minorEastAsia" w:cs="Times New Roman"/>
          <w:b/>
          <w:bCs/>
          <w:sz w:val="32"/>
          <w:szCs w:val="32"/>
          <w:lang w:eastAsia="ja-JP"/>
        </w:rPr>
        <w:t>Chapter 2</w:t>
      </w:r>
    </w:p>
    <w:p w:rsidR="00D23F59" w:rsidRPr="00D23F59" w:rsidRDefault="00D23F59" w:rsidP="00D23F59">
      <w:pPr>
        <w:autoSpaceDE w:val="0"/>
        <w:autoSpaceDN w:val="0"/>
        <w:adjustRightInd w:val="0"/>
        <w:spacing w:after="12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Length, mass, weight, volume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Significant figures or digits</w:t>
      </w:r>
    </w:p>
    <w:p w:rsidR="00D23F59" w:rsidRPr="00D23F59" w:rsidRDefault="00D23F59" w:rsidP="00D23F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Rounding</w:t>
      </w:r>
    </w:p>
    <w:p w:rsidR="00D23F59" w:rsidRPr="00D23F59" w:rsidRDefault="00D23F59" w:rsidP="00D23F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In addition, subtraction</w:t>
      </w:r>
    </w:p>
    <w:p w:rsidR="00D23F59" w:rsidRPr="00D23F59" w:rsidRDefault="00D23F59" w:rsidP="00D23F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In multiplication, division</w:t>
      </w:r>
    </w:p>
    <w:p w:rsidR="00D23F59" w:rsidRPr="00D23F59" w:rsidRDefault="00D23F59" w:rsidP="00D23F5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In measurements (uncertainty)</w:t>
      </w:r>
    </w:p>
    <w:p w:rsidR="00D23F59" w:rsidRPr="00D23F59" w:rsidRDefault="00D23F59" w:rsidP="00D23F59">
      <w:pPr>
        <w:autoSpaceDE w:val="0"/>
        <w:autoSpaceDN w:val="0"/>
        <w:adjustRightInd w:val="0"/>
        <w:spacing w:after="12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Scientific notation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Problem solving by unit analysis method</w:t>
      </w:r>
    </w:p>
    <w:p w:rsidR="00D23F59" w:rsidRPr="00D23F59" w:rsidRDefault="00D23F59" w:rsidP="00D23F59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Solve problems using unit factors, showing all necessary steps involved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Percentage: ratio of parts per 100 parts</w:t>
      </w:r>
    </w:p>
    <w:p w:rsidR="00D23F59" w:rsidRPr="00D23F59" w:rsidRDefault="00D23F59" w:rsidP="00D23F59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Given amount of part and whole, calculate %</w:t>
      </w:r>
    </w:p>
    <w:p w:rsidR="00D23F59" w:rsidRPr="00D23F59" w:rsidRDefault="00D23F59" w:rsidP="00D23F59">
      <w:pPr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Given %, calculate amount of part or whole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Metric system</w:t>
      </w:r>
    </w:p>
    <w:p w:rsidR="00D23F59" w:rsidRPr="00D23F59" w:rsidRDefault="00D23F59" w:rsidP="00D23F59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 xml:space="preserve">Know prefixes: micro, </w:t>
      </w:r>
      <w:proofErr w:type="spellStart"/>
      <w:r w:rsidRPr="00D23F59">
        <w:rPr>
          <w:rFonts w:eastAsiaTheme="minorEastAsia" w:cs="Times New Roman"/>
          <w:lang w:eastAsia="ja-JP"/>
        </w:rPr>
        <w:t>nano</w:t>
      </w:r>
      <w:proofErr w:type="spellEnd"/>
      <w:r w:rsidRPr="00D23F59">
        <w:rPr>
          <w:rFonts w:eastAsiaTheme="minorEastAsia" w:cs="Times New Roman"/>
          <w:lang w:eastAsia="ja-JP"/>
        </w:rPr>
        <w:t xml:space="preserve">, </w:t>
      </w:r>
      <w:proofErr w:type="spellStart"/>
      <w:r w:rsidRPr="00D23F59">
        <w:rPr>
          <w:rFonts w:eastAsiaTheme="minorEastAsia" w:cs="Times New Roman"/>
          <w:lang w:eastAsia="ja-JP"/>
        </w:rPr>
        <w:t>milli</w:t>
      </w:r>
      <w:proofErr w:type="spellEnd"/>
      <w:r w:rsidRPr="00D23F59">
        <w:rPr>
          <w:rFonts w:eastAsiaTheme="minorEastAsia" w:cs="Times New Roman"/>
          <w:lang w:eastAsia="ja-JP"/>
        </w:rPr>
        <w:t xml:space="preserve">, </w:t>
      </w:r>
      <w:proofErr w:type="spellStart"/>
      <w:r w:rsidRPr="00D23F59">
        <w:rPr>
          <w:rFonts w:eastAsiaTheme="minorEastAsia" w:cs="Times New Roman"/>
          <w:lang w:eastAsia="ja-JP"/>
        </w:rPr>
        <w:t>centi</w:t>
      </w:r>
      <w:proofErr w:type="spellEnd"/>
      <w:r w:rsidRPr="00D23F59">
        <w:rPr>
          <w:rFonts w:eastAsiaTheme="minorEastAsia" w:cs="Times New Roman"/>
          <w:lang w:eastAsia="ja-JP"/>
        </w:rPr>
        <w:t xml:space="preserve">, </w:t>
      </w:r>
      <w:proofErr w:type="spellStart"/>
      <w:r w:rsidRPr="00D23F59">
        <w:rPr>
          <w:rFonts w:eastAsiaTheme="minorEastAsia" w:cs="Times New Roman"/>
          <w:lang w:eastAsia="ja-JP"/>
        </w:rPr>
        <w:t>deci</w:t>
      </w:r>
      <w:proofErr w:type="spellEnd"/>
      <w:r w:rsidRPr="00D23F59">
        <w:rPr>
          <w:rFonts w:eastAsiaTheme="minorEastAsia" w:cs="Times New Roman"/>
          <w:lang w:eastAsia="ja-JP"/>
        </w:rPr>
        <w:t>, kilo</w:t>
      </w:r>
    </w:p>
    <w:p w:rsidR="00D23F59" w:rsidRPr="00D23F59" w:rsidRDefault="00D23F59" w:rsidP="00D23F59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Be able to perform metric-metric conversions using these prefixes</w:t>
      </w:r>
    </w:p>
    <w:p w:rsidR="00D23F59" w:rsidRPr="00D23F59" w:rsidRDefault="00D23F59" w:rsidP="00D23F59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1 cm</w:t>
      </w:r>
      <w:r w:rsidRPr="00D23F59">
        <w:rPr>
          <w:rFonts w:eastAsiaTheme="minorEastAsia" w:cs="Times New Roman"/>
          <w:vertAlign w:val="superscript"/>
          <w:lang w:eastAsia="ja-JP"/>
        </w:rPr>
        <w:t>3</w:t>
      </w:r>
      <w:r w:rsidRPr="00D23F59">
        <w:rPr>
          <w:rFonts w:eastAsiaTheme="minorEastAsia" w:cs="Times New Roman"/>
          <w:lang w:eastAsia="ja-JP"/>
        </w:rPr>
        <w:t xml:space="preserve"> </w:t>
      </w:r>
      <w:r w:rsidRPr="00D23F59">
        <w:rPr>
          <w:rFonts w:eastAsia="SymbolMT" w:cs="Times New Roman"/>
          <w:lang w:eastAsia="ja-JP"/>
        </w:rPr>
        <w:t xml:space="preserve">≡ </w:t>
      </w:r>
      <w:r w:rsidRPr="00D23F59">
        <w:rPr>
          <w:rFonts w:eastAsiaTheme="minorEastAsia" w:cs="Times New Roman"/>
          <w:lang w:eastAsia="ja-JP"/>
        </w:rPr>
        <w:t>1 mL (exact)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Use metric-English conversions given</w:t>
      </w:r>
    </w:p>
    <w:p w:rsidR="00D23F59" w:rsidRPr="00D23F59" w:rsidRDefault="00D23F59" w:rsidP="00D23F59">
      <w:pPr>
        <w:autoSpaceDE w:val="0"/>
        <w:autoSpaceDN w:val="0"/>
        <w:adjustRightInd w:val="0"/>
        <w:ind w:left="720"/>
        <w:rPr>
          <w:rFonts w:eastAsiaTheme="minorEastAsia" w:cs="Times New Roman"/>
          <w:lang w:val="de-DE" w:eastAsia="ja-JP"/>
        </w:rPr>
      </w:pPr>
      <w:r w:rsidRPr="00D23F59">
        <w:rPr>
          <w:rFonts w:eastAsiaTheme="minorEastAsia" w:cs="Times New Roman"/>
          <w:lang w:val="de-DE" w:eastAsia="ja-JP"/>
        </w:rPr>
        <w:lastRenderedPageBreak/>
        <w:t xml:space="preserve">(e.g. 1 in. </w:t>
      </w:r>
      <w:r w:rsidRPr="00D23F59">
        <w:rPr>
          <w:rFonts w:eastAsia="SymbolMT" w:cs="Times New Roman"/>
          <w:lang w:val="de-DE" w:eastAsia="ja-JP"/>
        </w:rPr>
        <w:t>≡</w:t>
      </w:r>
      <w:r w:rsidRPr="00D23F59">
        <w:rPr>
          <w:rFonts w:eastAsiaTheme="minorEastAsia" w:cs="Times New Roman"/>
          <w:lang w:val="de-DE" w:eastAsia="ja-JP"/>
        </w:rPr>
        <w:t>2.54 cm; 1 lb.=454 g; 1 qt.=946 mL)</w:t>
      </w:r>
    </w:p>
    <w:p w:rsidR="00D23F59" w:rsidRPr="00D23F59" w:rsidRDefault="00D23F59" w:rsidP="00D23F59">
      <w:pPr>
        <w:autoSpaceDE w:val="0"/>
        <w:autoSpaceDN w:val="0"/>
        <w:adjustRightInd w:val="0"/>
        <w:ind w:firstLine="720"/>
        <w:rPr>
          <w:rFonts w:eastAsiaTheme="minorEastAsia" w:cs="Times New Roman"/>
          <w:sz w:val="16"/>
          <w:szCs w:val="16"/>
          <w:lang w:val="de-DE" w:eastAsia="ja-JP"/>
        </w:rPr>
      </w:pP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Volume by calculation</w:t>
      </w:r>
    </w:p>
    <w:p w:rsidR="00D23F59" w:rsidRPr="00D23F59" w:rsidRDefault="00D23F59" w:rsidP="00D23F59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Rectangular solid: L x W x T</w:t>
      </w:r>
    </w:p>
    <w:p w:rsidR="00D23F59" w:rsidRPr="00D23F59" w:rsidRDefault="00D23F59" w:rsidP="00D23F59">
      <w:pPr>
        <w:autoSpaceDE w:val="0"/>
        <w:autoSpaceDN w:val="0"/>
        <w:adjustRightInd w:val="0"/>
        <w:ind w:left="1440"/>
        <w:contextualSpacing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• Volume by displacement</w:t>
      </w:r>
    </w:p>
    <w:p w:rsidR="00D23F59" w:rsidRPr="00D23F59" w:rsidRDefault="00D23F59" w:rsidP="00D23F59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Temperature</w:t>
      </w:r>
    </w:p>
    <w:p w:rsidR="00D23F59" w:rsidRPr="00D23F59" w:rsidRDefault="00D23F59" w:rsidP="00D23F59">
      <w:pPr>
        <w:numPr>
          <w:ilvl w:val="1"/>
          <w:numId w:val="18"/>
        </w:numPr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Be able to perform conversions for °F-to-°C or °C-to-K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 xml:space="preserve">• Density: d </w:t>
      </w:r>
      <w:r w:rsidRPr="00D23F59">
        <w:rPr>
          <w:rFonts w:eastAsia="SymbolMT" w:cs="Times New Roman"/>
          <w:lang w:eastAsia="ja-JP"/>
        </w:rPr>
        <w:t xml:space="preserve">= </w:t>
      </w:r>
      <w:r w:rsidRPr="00D23F59">
        <w:rPr>
          <w:rFonts w:eastAsiaTheme="minorEastAsia" w:cs="Times New Roman"/>
          <w:lang w:eastAsia="ja-JP"/>
        </w:rPr>
        <w:t>m /V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Be able to determine density, mass, or volume given the other two quantities</w:t>
      </w:r>
    </w:p>
    <w:p w:rsidR="00D23F59" w:rsidRPr="00D23F59" w:rsidRDefault="00D23F59" w:rsidP="00D23F59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Identify what items sink or float given densities of items and of liquid</w:t>
      </w:r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autoSpaceDE w:val="0"/>
        <w:autoSpaceDN w:val="0"/>
        <w:adjustRightInd w:val="0"/>
        <w:ind w:firstLine="720"/>
        <w:rPr>
          <w:rFonts w:eastAsiaTheme="minorEastAsia" w:cs="Times New Roman"/>
          <w:sz w:val="32"/>
          <w:szCs w:val="32"/>
          <w:lang w:eastAsia="ja-JP"/>
        </w:rPr>
      </w:pPr>
      <w:r w:rsidRPr="00D23F59">
        <w:rPr>
          <w:rFonts w:eastAsiaTheme="minorEastAsia" w:cs="Times New Roman"/>
          <w:b/>
          <w:bCs/>
          <w:sz w:val="32"/>
          <w:szCs w:val="32"/>
          <w:lang w:eastAsia="ja-JP"/>
        </w:rPr>
        <w:t>Chapter 3</w:t>
      </w:r>
    </w:p>
    <w:p w:rsidR="00D23F59" w:rsidRPr="00D23F59" w:rsidRDefault="00D23F59" w:rsidP="00D23F59">
      <w:pPr>
        <w:autoSpaceDE w:val="0"/>
        <w:autoSpaceDN w:val="0"/>
        <w:adjustRightInd w:val="0"/>
        <w:ind w:left="1080"/>
        <w:contextualSpacing/>
        <w:rPr>
          <w:rFonts w:eastAsiaTheme="minorEastAsia" w:cs="Times New Roman"/>
          <w:sz w:val="16"/>
          <w:szCs w:val="16"/>
          <w:lang w:eastAsia="ja-JP"/>
        </w:rPr>
      </w:pPr>
    </w:p>
    <w:p w:rsidR="00D23F59" w:rsidRPr="00D23F59" w:rsidRDefault="00D23F59" w:rsidP="00D23F59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Periodic Table</w:t>
      </w:r>
    </w:p>
    <w:p w:rsidR="00D23F59" w:rsidRPr="00D23F59" w:rsidRDefault="00D23F59" w:rsidP="00D23F59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 xml:space="preserve">Group and period names </w:t>
      </w:r>
    </w:p>
    <w:p w:rsidR="00D23F59" w:rsidRPr="00D23F59" w:rsidRDefault="00D23F59" w:rsidP="00D23F59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Metals, nonmetals, and semimetals</w:t>
      </w:r>
    </w:p>
    <w:p w:rsidR="00D23F59" w:rsidRPr="00D23F59" w:rsidRDefault="00D23F59" w:rsidP="00D23F59">
      <w:pPr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Location on Periodic Table and properties</w:t>
      </w:r>
    </w:p>
    <w:p w:rsidR="00D23F59" w:rsidRPr="00D23F59" w:rsidRDefault="00D23F59" w:rsidP="00D23F59">
      <w:pPr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Compounds</w:t>
      </w:r>
    </w:p>
    <w:p w:rsidR="00D23F59" w:rsidRPr="00D23F59" w:rsidRDefault="00D23F59" w:rsidP="00D23F59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Molecules</w:t>
      </w:r>
    </w:p>
    <w:p w:rsidR="00D23F59" w:rsidRPr="00D23F59" w:rsidRDefault="00D23F59" w:rsidP="00D23F59">
      <w:pPr>
        <w:numPr>
          <w:ilvl w:val="1"/>
          <w:numId w:val="3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Ionic Compounds</w:t>
      </w:r>
    </w:p>
    <w:p w:rsidR="00D23F59" w:rsidRPr="00D23F59" w:rsidRDefault="00D23F59" w:rsidP="00D23F59">
      <w:pPr>
        <w:numPr>
          <w:ilvl w:val="2"/>
          <w:numId w:val="3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proofErr w:type="spellStart"/>
      <w:r w:rsidRPr="00D23F59">
        <w:rPr>
          <w:rFonts w:eastAsiaTheme="minorEastAsia" w:cs="Times New Roman"/>
          <w:lang w:eastAsia="ja-JP"/>
        </w:rPr>
        <w:t>cations</w:t>
      </w:r>
      <w:proofErr w:type="spellEnd"/>
      <w:r w:rsidRPr="00D23F59">
        <w:rPr>
          <w:rFonts w:eastAsiaTheme="minorEastAsia" w:cs="Times New Roman"/>
          <w:lang w:eastAsia="ja-JP"/>
        </w:rPr>
        <w:t>/anions</w:t>
      </w:r>
    </w:p>
    <w:p w:rsidR="00D23F59" w:rsidRPr="00D23F59" w:rsidRDefault="00D23F59" w:rsidP="00D23F5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Law of Definite Proportions</w:t>
      </w:r>
    </w:p>
    <w:p w:rsidR="00D23F59" w:rsidRPr="00D23F59" w:rsidRDefault="00D23F59" w:rsidP="00D23F5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 xml:space="preserve">Law of Multiple </w:t>
      </w:r>
      <w:proofErr w:type="spellStart"/>
      <w:r w:rsidRPr="00D23F59">
        <w:rPr>
          <w:rFonts w:eastAsiaTheme="minorEastAsia" w:cs="Times New Roman"/>
          <w:lang w:eastAsia="ja-JP"/>
        </w:rPr>
        <w:t>Proprotions</w:t>
      </w:r>
      <w:proofErr w:type="spellEnd"/>
    </w:p>
    <w:p w:rsidR="00D23F59" w:rsidRPr="00D23F59" w:rsidRDefault="00D23F59" w:rsidP="00D23F59">
      <w:pPr>
        <w:autoSpaceDE w:val="0"/>
        <w:autoSpaceDN w:val="0"/>
        <w:adjustRightInd w:val="0"/>
        <w:rPr>
          <w:rFonts w:eastAsiaTheme="minorEastAsia" w:cs="Times New Roman"/>
          <w:lang w:eastAsia="ja-JP"/>
        </w:rPr>
      </w:pPr>
    </w:p>
    <w:p w:rsidR="00D23F59" w:rsidRPr="00D23F59" w:rsidRDefault="00D23F59" w:rsidP="00D23F59">
      <w:pPr>
        <w:autoSpaceDE w:val="0"/>
        <w:autoSpaceDN w:val="0"/>
        <w:adjustRightInd w:val="0"/>
        <w:rPr>
          <w:rFonts w:ascii="ComicSansMS-Bold" w:eastAsiaTheme="minorEastAsia" w:hAnsi="ComicSansMS-Bold" w:cs="ComicSansMS-Bold"/>
          <w:b/>
          <w:bCs/>
          <w:sz w:val="32"/>
          <w:szCs w:val="32"/>
          <w:lang w:eastAsia="ja-JP"/>
        </w:rPr>
      </w:pPr>
      <w:r w:rsidRPr="00D23F59">
        <w:rPr>
          <w:rFonts w:ascii="ComicSansMS-Bold" w:eastAsiaTheme="minorEastAsia" w:hAnsi="ComicSansMS-Bold" w:cs="ComicSansMS-Bold"/>
          <w:b/>
          <w:bCs/>
          <w:sz w:val="32"/>
          <w:szCs w:val="32"/>
          <w:lang w:eastAsia="ja-JP"/>
        </w:rPr>
        <w:t>Chapter 4</w:t>
      </w:r>
    </w:p>
    <w:p w:rsidR="00D23F59" w:rsidRPr="00D23F59" w:rsidRDefault="00D23F59" w:rsidP="00D23F5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Physical and chemical properties and changes</w:t>
      </w:r>
    </w:p>
    <w:p w:rsidR="00D23F59" w:rsidRPr="00D23F59" w:rsidRDefault="00D23F59" w:rsidP="00D23F59">
      <w:pPr>
        <w:autoSpaceDE w:val="0"/>
        <w:autoSpaceDN w:val="0"/>
        <w:adjustRightInd w:val="0"/>
        <w:ind w:left="720"/>
        <w:contextualSpacing/>
        <w:rPr>
          <w:rFonts w:eastAsiaTheme="minorEastAsia" w:cs="Times New Roman"/>
          <w:lang w:eastAsia="ja-JP"/>
        </w:rPr>
      </w:pPr>
    </w:p>
    <w:p w:rsidR="00D23F59" w:rsidRPr="00D23F59" w:rsidRDefault="00D23F59" w:rsidP="00D23F59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b/>
          <w:bCs/>
          <w:lang w:eastAsia="ja-JP"/>
        </w:rPr>
        <w:t xml:space="preserve">Forms of Energy: </w:t>
      </w:r>
      <w:r w:rsidRPr="00D23F59">
        <w:rPr>
          <w:rFonts w:eastAsiaTheme="minorEastAsia" w:cs="Times New Roman"/>
          <w:lang w:eastAsia="ja-JP"/>
        </w:rPr>
        <w:t>heat, light, electrical, mechanical, chemical, and nuclear</w:t>
      </w:r>
    </w:p>
    <w:p w:rsidR="00D23F59" w:rsidRPr="00D23F59" w:rsidRDefault="00D23F59" w:rsidP="00D23F5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Law of Conservation of Mass</w:t>
      </w:r>
    </w:p>
    <w:p w:rsidR="00D23F59" w:rsidRPr="00D23F59" w:rsidRDefault="00D23F59" w:rsidP="00D23F5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Law of Conservation of Energy</w:t>
      </w:r>
    </w:p>
    <w:p w:rsidR="00D23F59" w:rsidRPr="00D23F59" w:rsidRDefault="00D23F59" w:rsidP="00D23F5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Law of Conservation of Mass and Energy</w:t>
      </w:r>
    </w:p>
    <w:p w:rsidR="00D23F59" w:rsidRPr="00D23F59" w:rsidRDefault="00D23F59" w:rsidP="00D23F59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Heat</w:t>
      </w:r>
    </w:p>
    <w:p w:rsidR="00D23F59" w:rsidRPr="00D23F59" w:rsidRDefault="00D23F59" w:rsidP="00D23F59">
      <w:pPr>
        <w:numPr>
          <w:ilvl w:val="1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Specific heat</w:t>
      </w:r>
    </w:p>
    <w:p w:rsidR="00986AC2" w:rsidRPr="00D23F59" w:rsidRDefault="00D23F59" w:rsidP="00D23F59">
      <w:pPr>
        <w:numPr>
          <w:ilvl w:val="1"/>
          <w:numId w:val="20"/>
        </w:numPr>
        <w:autoSpaceDE w:val="0"/>
        <w:autoSpaceDN w:val="0"/>
        <w:adjustRightInd w:val="0"/>
        <w:spacing w:after="200" w:line="276" w:lineRule="auto"/>
        <w:contextualSpacing/>
        <w:rPr>
          <w:rFonts w:eastAsiaTheme="minorEastAsia" w:cs="Times New Roman"/>
          <w:lang w:eastAsia="ja-JP"/>
        </w:rPr>
      </w:pPr>
      <w:r w:rsidRPr="00D23F59">
        <w:rPr>
          <w:rFonts w:eastAsiaTheme="minorEastAsia" w:cs="Times New Roman"/>
          <w:lang w:eastAsia="ja-JP"/>
        </w:rPr>
        <w:t>q=</w:t>
      </w:r>
      <w:proofErr w:type="spellStart"/>
      <w:r w:rsidRPr="00D23F59">
        <w:rPr>
          <w:rFonts w:eastAsiaTheme="minorEastAsia" w:cs="Times New Roman"/>
          <w:lang w:eastAsia="ja-JP"/>
        </w:rPr>
        <w:t>mc∆T</w:t>
      </w:r>
      <w:bookmarkStart w:id="0" w:name="_GoBack"/>
      <w:bookmarkEnd w:id="0"/>
      <w:proofErr w:type="spellEnd"/>
    </w:p>
    <w:sectPr w:rsidR="00986AC2" w:rsidRPr="00D23F59" w:rsidSect="00D23F5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480"/>
    <w:multiLevelType w:val="hybridMultilevel"/>
    <w:tmpl w:val="389AB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32"/>
    <w:multiLevelType w:val="hybridMultilevel"/>
    <w:tmpl w:val="8320D73A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230ED"/>
    <w:multiLevelType w:val="hybridMultilevel"/>
    <w:tmpl w:val="6958E26E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F5A8B"/>
    <w:multiLevelType w:val="hybridMultilevel"/>
    <w:tmpl w:val="E4566C38"/>
    <w:lvl w:ilvl="0" w:tplc="BCC43754">
      <w:numFmt w:val="bullet"/>
      <w:lvlText w:val="•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A60F3"/>
    <w:multiLevelType w:val="hybridMultilevel"/>
    <w:tmpl w:val="0D0E4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B5EA6"/>
    <w:multiLevelType w:val="hybridMultilevel"/>
    <w:tmpl w:val="8D186F86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E3AAA"/>
    <w:multiLevelType w:val="hybridMultilevel"/>
    <w:tmpl w:val="A5227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3D63"/>
    <w:multiLevelType w:val="hybridMultilevel"/>
    <w:tmpl w:val="8D4E4D92"/>
    <w:lvl w:ilvl="0" w:tplc="B8F8A3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F2BBE"/>
    <w:multiLevelType w:val="hybridMultilevel"/>
    <w:tmpl w:val="87D2E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5556"/>
    <w:multiLevelType w:val="hybridMultilevel"/>
    <w:tmpl w:val="338E1548"/>
    <w:lvl w:ilvl="0" w:tplc="8BB2D564">
      <w:numFmt w:val="bullet"/>
      <w:lvlText w:val="•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EC731B5"/>
    <w:multiLevelType w:val="hybridMultilevel"/>
    <w:tmpl w:val="3020ACEA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77AAE"/>
    <w:multiLevelType w:val="hybridMultilevel"/>
    <w:tmpl w:val="4C748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53DB9"/>
    <w:multiLevelType w:val="hybridMultilevel"/>
    <w:tmpl w:val="2204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644A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20CD4"/>
    <w:multiLevelType w:val="hybridMultilevel"/>
    <w:tmpl w:val="C1C4F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C67D4"/>
    <w:multiLevelType w:val="hybridMultilevel"/>
    <w:tmpl w:val="DA603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73B30"/>
    <w:multiLevelType w:val="hybridMultilevel"/>
    <w:tmpl w:val="AAD67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85C2A"/>
    <w:multiLevelType w:val="hybridMultilevel"/>
    <w:tmpl w:val="076899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4E4290"/>
    <w:multiLevelType w:val="hybridMultilevel"/>
    <w:tmpl w:val="055E51A8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6EE328">
      <w:numFmt w:val="bullet"/>
      <w:lvlText w:val="–"/>
      <w:lvlJc w:val="left"/>
      <w:pPr>
        <w:ind w:left="1440" w:hanging="360"/>
      </w:pPr>
      <w:rPr>
        <w:rFonts w:ascii="ComicSansMS" w:eastAsiaTheme="minorEastAsia" w:hAnsi="ComicSansMS" w:cs="ComicSans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761DC"/>
    <w:multiLevelType w:val="hybridMultilevel"/>
    <w:tmpl w:val="DBF4BC86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F5558"/>
    <w:multiLevelType w:val="hybridMultilevel"/>
    <w:tmpl w:val="B706E98C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8BB2D5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D6FD6"/>
    <w:multiLevelType w:val="hybridMultilevel"/>
    <w:tmpl w:val="4A7E16DA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C5579"/>
    <w:multiLevelType w:val="hybridMultilevel"/>
    <w:tmpl w:val="40AA1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D7349"/>
    <w:multiLevelType w:val="hybridMultilevel"/>
    <w:tmpl w:val="1EA860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27A4C"/>
    <w:multiLevelType w:val="hybridMultilevel"/>
    <w:tmpl w:val="FDB015E6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74BE5"/>
    <w:multiLevelType w:val="hybridMultilevel"/>
    <w:tmpl w:val="84F67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952C2"/>
    <w:multiLevelType w:val="hybridMultilevel"/>
    <w:tmpl w:val="33F803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F8A398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230011"/>
    <w:multiLevelType w:val="hybridMultilevel"/>
    <w:tmpl w:val="5A68CE00"/>
    <w:lvl w:ilvl="0" w:tplc="8BB2D5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8BB2D56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13E4A"/>
    <w:multiLevelType w:val="hybridMultilevel"/>
    <w:tmpl w:val="AB2891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C5333B"/>
    <w:multiLevelType w:val="hybridMultilevel"/>
    <w:tmpl w:val="2CAE8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FA6371"/>
    <w:multiLevelType w:val="hybridMultilevel"/>
    <w:tmpl w:val="7DEAD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21"/>
  </w:num>
  <w:num w:numId="7">
    <w:abstractNumId w:val="22"/>
  </w:num>
  <w:num w:numId="8">
    <w:abstractNumId w:val="2"/>
  </w:num>
  <w:num w:numId="9">
    <w:abstractNumId w:val="27"/>
  </w:num>
  <w:num w:numId="10">
    <w:abstractNumId w:val="29"/>
  </w:num>
  <w:num w:numId="11">
    <w:abstractNumId w:val="10"/>
  </w:num>
  <w:num w:numId="12">
    <w:abstractNumId w:val="14"/>
  </w:num>
  <w:num w:numId="13">
    <w:abstractNumId w:val="18"/>
  </w:num>
  <w:num w:numId="14">
    <w:abstractNumId w:val="16"/>
  </w:num>
  <w:num w:numId="15">
    <w:abstractNumId w:val="5"/>
  </w:num>
  <w:num w:numId="16">
    <w:abstractNumId w:val="8"/>
  </w:num>
  <w:num w:numId="17">
    <w:abstractNumId w:val="9"/>
  </w:num>
  <w:num w:numId="18">
    <w:abstractNumId w:val="24"/>
  </w:num>
  <w:num w:numId="19">
    <w:abstractNumId w:val="1"/>
  </w:num>
  <w:num w:numId="20">
    <w:abstractNumId w:val="17"/>
  </w:num>
  <w:num w:numId="21">
    <w:abstractNumId w:val="26"/>
  </w:num>
  <w:num w:numId="22">
    <w:abstractNumId w:val="19"/>
  </w:num>
  <w:num w:numId="23">
    <w:abstractNumId w:val="23"/>
  </w:num>
  <w:num w:numId="24">
    <w:abstractNumId w:val="7"/>
  </w:num>
  <w:num w:numId="25">
    <w:abstractNumId w:val="11"/>
  </w:num>
  <w:num w:numId="26">
    <w:abstractNumId w:val="15"/>
  </w:num>
  <w:num w:numId="27">
    <w:abstractNumId w:val="4"/>
  </w:num>
  <w:num w:numId="28">
    <w:abstractNumId w:val="20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59"/>
    <w:rsid w:val="00022411"/>
    <w:rsid w:val="00986AC2"/>
    <w:rsid w:val="00B06B6B"/>
    <w:rsid w:val="00D2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1</cp:revision>
  <dcterms:created xsi:type="dcterms:W3CDTF">2015-06-10T19:35:00Z</dcterms:created>
  <dcterms:modified xsi:type="dcterms:W3CDTF">2015-06-10T19:37:00Z</dcterms:modified>
</cp:coreProperties>
</file>